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übersetze komplexe Anforderungen in robuste, skalierbare und langfristig tragfähige Systeme. Dabei arbeite ich an der Schnittstelle von moderner Software, Plattformen, Infrastruktur und KI-nahen Workflows – mit einem klaren Fokus auf Lösungen, die technisch sauber, sicher betreibbar und in der Praxis wirklich brauchbar sind.</w:t>
            </w:r>
          </w:p>
          <w:p>
            <w:pPr>
              <w:pStyle w:val="Heading2"/>
              <w:pBdr>
                <w:bottom w:val="single" w:color="auto" w:sz="6" w:space="1"/>
              </w:pBdr>
            </w:pPr>
            <w:r>
              <w:t xml:space="preserve">Profil</w:t>
            </w:r>
          </w:p>
          <w:p>
            <w:pPr>
              <w:spacing w:after="100"/>
            </w:pPr>
            <w:r>
              <w:rPr>
                <w:sz w:val="18"/>
                <w:szCs w:val="18"/>
              </w:rPr>
              <w:t xml:space="preserve">Mit über zwei Jahrzehnten praktischer Erfahrung in IT, Infrastruktur und Security entwickle ich sichere, skalierbare und langfristig tragfähige Systeme. Mein Fokus liegt auf der Architektur und Umsetzung technischer Lösungen – von Linux- und Netzwerk-Infrastrukturen über Security- und Compliance-nahe Plattformen bis hin zu moderner Software für mandantenfähige SaaS-Produkte.</w:t>
            </w:r>
          </w:p>
          <w:p>
            <w:pPr>
              <w:spacing w:after="200"/>
            </w:pPr>
            <w:r>
              <w:rPr>
                <w:sz w:val="18"/>
                <w:szCs w:val="18"/>
              </w:rPr>
              <w:t xml:space="preserve">Ich arbeite an der Schnittstelle von technischer Tiefe und klarer Umsetzung. Ob Plattformarchitektur, Security-by-Design, Infrastrukturmodernisierung oder die Übersetzung regulatorischer Anforderungen in belastbare technische Systeme: Ich verbinde Architektur, Engineering und Pragmatismus, damit aus Komplexität funktionierende Lösungen werden.</w:t>
            </w:r>
          </w:p>
          <w:p>
            <w:pPr>
              <w:pStyle w:val="Heading2"/>
              <w:keepLines/>
              <w:pBdr>
                <w:bottom w:val="single" w:color="auto" w:sz="6" w:space="1"/>
              </w:pBdr>
              <w:spacing w:after="100"/>
            </w:pPr>
            <w:r>
              <w:t xml:space="preserve">Berufserfahrung</w:t>
            </w:r>
          </w:p>
          <w:p>
            <w:pPr>
              <w:spacing w:after="50" w:before="1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Technische Programmleitung IPv6-Migration</w:t>
            </w:r>
          </w:p>
          <w:p>
            <w:r>
              <w:rPr>
                <w:color w:val="1B6E5A"/>
                <w:sz w:val="18"/>
                <w:szCs w:val="18"/>
              </w:rPr>
              <w:t xml:space="preserve">Deutsche Rentenversicherung (RP, BW)</w:t>
            </w:r>
            <w:r>
              <w:rPr>
                <w:color w:val="3A2366"/>
                <w:sz w:val="18"/>
                <w:szCs w:val="18"/>
              </w:rPr>
              <w:t xml:space="preserve"> — Jan 2026 - Heute</w:t>
            </w:r>
          </w:p>
          <w:p>
            <w:pPr>
              <w:spacing w:after="100"/>
            </w:pPr>
            <w:r>
              <w:rPr>
                <w:color w:val="3A2366"/>
                <w:sz w:val="18"/>
                <w:szCs w:val="18"/>
              </w:rPr>
              <w:t xml:space="preserve">Karlsruhe &amp; Speyer, Deutschland</w:t>
            </w:r>
          </w:p>
          <w:p>
            <w:pPr>
              <w:pStyle w:val="ListParagraph"/>
              <w:numPr>
                <w:ilvl w:val="0"/>
                <w:numId w:val="1"/>
              </w:numPr>
            </w:pPr>
            <w:r>
              <w:rPr>
                <w:b w:val="false"/>
                <w:bCs w:val="false"/>
                <w:color w:val="07090B"/>
                <w:sz w:val="18"/>
                <w:szCs w:val="18"/>
              </w:rPr>
              <w:t xml:space="preserve">Technische Programmverantwortung für die IPv6-Migration bei DRV RP und DRV BW mit Fokus auf Migrationsplanung, Umsetzungsstruktur und übergreifende technische Steuerung.</w:t>
            </w:r>
          </w:p>
          <w:p>
            <w:pPr>
              <w:pStyle w:val="ListParagraph"/>
              <w:numPr>
                <w:ilvl w:val="0"/>
                <w:numId w:val="1"/>
              </w:numPr>
            </w:pPr>
            <w:r>
              <w:rPr>
                <w:b w:val="false"/>
                <w:bCs w:val="false"/>
                <w:color w:val="07090B"/>
                <w:sz w:val="18"/>
                <w:szCs w:val="18"/>
              </w:rPr>
              <w:t xml:space="preserve">Konzeption und Einführung eines operativen Steuerungsmodells mit Dashboard, Action Board, KPI-Portfolio, Risikoregister und Entscheidungsindex zur strukturierten Übersetzung technischer Themen in belastbare Delivery-Artefakte.</w:t>
            </w:r>
          </w:p>
          <w:p>
            <w:pPr>
              <w:pStyle w:val="ListParagraph"/>
              <w:numPr>
                <w:ilvl w:val="0"/>
                <w:numId w:val="1"/>
              </w:numPr>
            </w:pPr>
            <w:r>
              <w:rPr>
                <w:b w:val="false"/>
                <w:bCs w:val="false"/>
                <w:color w:val="07090B"/>
                <w:sz w:val="18"/>
                <w:szCs w:val="18"/>
              </w:rPr>
              <w:t xml:space="preserve">Koordination der technischen Vorarbeiten für Architektur und Rollout über IPv6-Adressierung, Segmentierung, Dual-Stack-Zielbild, Testlabor-Planung und teamübergreifende Abhängigkeiten hinweg.</w:t>
            </w:r>
          </w:p>
          <w:p>
            <w:pPr>
              <w:pStyle w:val="ListParagraph"/>
              <w:numPr>
                <w:ilvl w:val="0"/>
                <w:numId w:val="1"/>
              </w:numPr>
            </w:pPr>
            <w:r>
              <w:rPr>
                <w:b w:val="false"/>
                <w:bCs w:val="false"/>
                <w:color w:val="07090B"/>
                <w:sz w:val="18"/>
                <w:szCs w:val="18"/>
              </w:rPr>
              <w:t xml:space="preserve">Begleitung sicherheits- und compliance-relevanter Anforderungen mit Bezug auf BSI, NIS2 und KRITIS sowie deren Überführung in nachvollziehbare Nachweise, Risiken und Management-Reporting.</w:t>
            </w:r>
          </w:p>
          <w:p>
            <w:pPr>
              <w:pStyle w:val="ListParagraph"/>
              <w:numPr>
                <w:ilvl w:val="0"/>
                <w:numId w:val="1"/>
              </w:numPr>
            </w:pPr>
            <w:r>
              <w:rPr>
                <w:b/>
                <w:bCs/>
                <w:color w:val="1B6E5A"/>
                <w:sz w:val="18"/>
                <w:szCs w:val="18"/>
              </w:rPr>
              <w:t xml:space="preserve">Erfolg: Etablierung eines wiederverwendbaren Intake-to-Governance-Workflows zur systematischen Erfassung technischer Actions, Risiken, offener Punkte und Nachweisanforderungen.</w:t>
            </w:r>
          </w:p>
          <w:p>
            <w:pPr>
              <w:pStyle w:val="ListParagraph"/>
              <w:numPr>
                <w:ilvl w:val="0"/>
                <w:numId w:val="1"/>
              </w:numPr>
            </w:pPr>
            <w:r>
              <w:rPr>
                <w:b/>
                <w:bCs/>
                <w:color w:val="1B6E5A"/>
                <w:sz w:val="18"/>
                <w:szCs w:val="18"/>
              </w:rPr>
              <w:t xml:space="preserve">Erfolg: Schaffung einer operativen Baseline für die technische Programmausführung mit messbaren KPIs, klaren Verantwortlichkeiten und transparenter Entscheidungsgrundlage.</w:t>
            </w:r>
          </w:p>
          <w:p/>
          <w:p>
            <w:r>
              <w:rPr>
                <w:b/>
                <w:bCs/>
                <w:sz w:val="20"/>
                <w:szCs w:val="20"/>
              </w:rPr>
              <w:t xml:space="preserve">Technische Teilprojektleitung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Technische Teilprojektverantwortung im Rahmen der Rechenzentrumsmigration mit Schwerpunkt auf Solaris-, Linux-, Storage- und Backup-Umgebungen.</w:t>
            </w:r>
          </w:p>
          <w:p>
            <w:pPr>
              <w:pStyle w:val="ListParagraph"/>
              <w:numPr>
                <w:ilvl w:val="0"/>
                <w:numId w:val="1"/>
              </w:numPr>
            </w:pPr>
            <w:r>
              <w:rPr>
                <w:b w:val="false"/>
                <w:bCs w:val="false"/>
                <w:color w:val="07090B"/>
                <w:sz w:val="18"/>
                <w:szCs w:val="18"/>
              </w:rPr>
              <w:t xml:space="preserve">Konzeption, Modernisierung und Einführung der unternehmensweiten Backup-Plattform auf Basis der Rubrik Security Cloud inklusive technischer Abstimmung über Betriebs-, Security- und Wiederherstellungsanforderungen hinweg.</w:t>
            </w:r>
          </w:p>
          <w:p>
            <w:pPr>
              <w:pStyle w:val="ListParagraph"/>
              <w:numPr>
                <w:ilvl w:val="0"/>
                <w:numId w:val="1"/>
              </w:numPr>
            </w:pPr>
            <w:r>
              <w:rPr>
                <w:b w:val="false"/>
                <w:bCs w:val="false"/>
                <w:color w:val="07090B"/>
                <w:sz w:val="18"/>
                <w:szCs w:val="18"/>
              </w:rPr>
              <w:t xml:space="preserve">Mitwirkung an der Weiterentwicklung der Solaris-Infrastruktur und an der schrittweisen Ablösung von Legacy-Systemen zugunsten moderner, cloudfähiger Zielarchitekturen.</w:t>
            </w:r>
          </w:p>
          <w:p>
            <w:pPr>
              <w:pStyle w:val="ListParagraph"/>
              <w:numPr>
                <w:ilvl w:val="0"/>
                <w:numId w:val="1"/>
              </w:numPr>
            </w:pPr>
            <w:r>
              <w:rPr>
                <w:b w:val="false"/>
                <w:bCs w:val="false"/>
                <w:color w:val="07090B"/>
                <w:sz w:val="18"/>
                <w:szCs w:val="18"/>
              </w:rPr>
              <w:t xml:space="preserve">Unterstützung bei der technischen Erneuerung der Netzwerkinfrastruktur hin zu einer segmentierten, sicherheitsorientierten Architektur mit klareren Betriebs- und Schutzgrenzen.</w:t>
            </w:r>
          </w:p>
          <w:p>
            <w:pPr>
              <w:pStyle w:val="ListParagraph"/>
              <w:numPr>
                <w:ilvl w:val="0"/>
                <w:numId w:val="1"/>
              </w:numPr>
            </w:pPr>
            <w:r>
              <w:rPr>
                <w:b/>
                <w:bCs/>
                <w:color w:val="1B6E5A"/>
                <w:sz w:val="18"/>
                <w:szCs w:val="18"/>
              </w:rPr>
              <w:t xml:space="preserve">Erfolg: Etablierung einer modernisierten Backup-Baseline mit Verbesserungen bei Datensicherheit, Compliance und Wiederherstellbarkeit über mehrere Fachbereiche hinweg.</w:t>
            </w:r>
          </w:p>
          <w:p>
            <w:pPr>
              <w:pStyle w:val="ListParagraph"/>
              <w:numPr>
                <w:ilvl w:val="0"/>
                <w:numId w:val="1"/>
              </w:numPr>
            </w:pPr>
            <w:r>
              <w:rPr>
                <w:b/>
                <w:bCs/>
                <w:color w:val="1B6E5A"/>
                <w:sz w:val="18"/>
                <w:szCs w:val="18"/>
              </w:rPr>
              <w:t xml:space="preserve">Erfolg: Beitrag zur technischen Vorbereitung und koordinierten Umsetzung der Verlagerung von zwei Rechenzentren mit minimierten Ausfallzeiten und abgestimmten Infrastrukturabhängigkeiten.</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und Umsetzung in den Bereichen Informationssicherheit, technische Security Controls und organisatorische Sicherheitsanforderungen.</w:t>
            </w:r>
          </w:p>
          <w:p>
            <w:pPr>
              <w:pStyle w:val="ListParagraph"/>
              <w:numPr>
                <w:ilvl w:val="0"/>
                <w:numId w:val="1"/>
              </w:numPr>
            </w:pPr>
            <w:r>
              <w:rPr>
                <w:b w:val="false"/>
                <w:bCs w:val="false"/>
                <w:color w:val="07090B"/>
                <w:sz w:val="18"/>
                <w:szCs w:val="18"/>
              </w:rPr>
              <w:t xml:space="preserve">Unterstützung des DevOps-Teams bei sicherheitsrelevanten Fragestellungen, betrieblichen Hardening-Maßnahmen und der Einbettung von Security-Anforderungen in bestehende Plattform- und Deployment-Prozesse.</w:t>
            </w:r>
          </w:p>
          <w:p>
            <w:pPr>
              <w:pStyle w:val="ListParagraph"/>
              <w:numPr>
                <w:ilvl w:val="0"/>
                <w:numId w:val="1"/>
              </w:numPr>
            </w:pPr>
            <w:r>
              <w:rPr>
                <w:b w:val="false"/>
                <w:bCs w:val="false"/>
                <w:color w:val="07090B"/>
                <w:sz w:val="18"/>
                <w:szCs w:val="18"/>
              </w:rPr>
              <w:t xml:space="preserve">Integration von Diensten in die bestehende SSO-Infrastruktur zur Vereinheitlichung von Authentifizierung, Zugriffssteuerung und Benutzerverwaltung über mehrere Plattformen hinweg.</w:t>
            </w:r>
          </w:p>
          <w:p>
            <w:pPr>
              <w:pStyle w:val="ListParagraph"/>
              <w:numPr>
                <w:ilvl w:val="0"/>
                <w:numId w:val="1"/>
              </w:numPr>
            </w:pPr>
            <w:r>
              <w:rPr>
                <w:b w:val="false"/>
                <w:bCs w:val="false"/>
                <w:color w:val="07090B"/>
                <w:sz w:val="18"/>
                <w:szCs w:val="18"/>
              </w:rPr>
              <w:t xml:space="preserve">Begleitung der Audit- und Zertifizierungsvorbereitung für SOC 2 und ISO 27001 inklusive Anforderungsabgleich, Nachweisführung und Abstimmung technischer sowie organisatorischer Maßnahmen.</w:t>
            </w:r>
          </w:p>
          <w:p>
            <w:pPr>
              <w:pStyle w:val="ListParagraph"/>
              <w:numPr>
                <w:ilvl w:val="0"/>
                <w:numId w:val="1"/>
              </w:numPr>
            </w:pPr>
            <w:r>
              <w:rPr>
                <w:b w:val="false"/>
                <w:bCs w:val="false"/>
                <w:color w:val="07090B"/>
                <w:sz w:val="18"/>
                <w:szCs w:val="18"/>
              </w:rPr>
              <w:t xml:space="preserve">Beratung zu DSGVO-Anforderungen sowie Einführung von Aufbewahrungsfristen, Datenschutzrichtlinien und zugehörigen organisatorischen Vorgaben.</w:t>
            </w:r>
          </w:p>
          <w:p>
            <w:pPr>
              <w:pStyle w:val="ListParagraph"/>
              <w:numPr>
                <w:ilvl w:val="0"/>
                <w:numId w:val="1"/>
              </w:numPr>
            </w:pPr>
            <w:r>
              <w:rPr>
                <w:b w:val="false"/>
                <w:bCs w:val="false"/>
                <w:color w:val="07090B"/>
                <w:sz w:val="18"/>
                <w:szCs w:val="18"/>
              </w:rPr>
              <w:t xml:space="preserve">Einführung und Weiterentwicklung von Sicherheitsrichtlinien und Basiskontrollen zur Stärkung des unternehmensweiten Sicherheitsniveaus.</w:t>
            </w:r>
          </w:p>
          <w:p>
            <w:pPr>
              <w:pStyle w:val="ListParagraph"/>
              <w:numPr>
                <w:ilvl w:val="0"/>
                <w:numId w:val="1"/>
              </w:numPr>
            </w:pPr>
            <w:r>
              <w:rPr>
                <w:b/>
                <w:bCs/>
                <w:color w:val="1B6E5A"/>
                <w:sz w:val="18"/>
                <w:szCs w:val="18"/>
              </w:rPr>
              <w:t xml:space="preserve">Erfolg: Implementierung von IT-Sicherheitsmaßnahmen, die ein SOC-2-Audit ohne Beanstandungen unterstützten und damit zentrale Kundenanforderungen absicherten.</w:t>
            </w:r>
          </w:p>
          <w:p>
            <w:pPr>
              <w:pStyle w:val="ListParagraph"/>
              <w:numPr>
                <w:ilvl w:val="0"/>
                <w:numId w:val="1"/>
              </w:numPr>
            </w:pPr>
            <w:r>
              <w:rPr>
                <w:b/>
                <w:bCs/>
                <w:color w:val="1B6E5A"/>
                <w:sz w:val="18"/>
                <w:szCs w:val="18"/>
              </w:rPr>
              <w:t xml:space="preserve">Erfolg: Integration der SSO-Infrastruktur über mehrere Plattformen hinweg mit Verbesserungen bei Sicherheit, Zugriffskonsistenz und Nutzererlebnis.</w:t>
            </w:r>
          </w:p>
          <w:p>
            <w:pPr>
              <w:pStyle w:val="ListParagraph"/>
              <w:numPr>
                <w:ilvl w:val="0"/>
                <w:numId w:val="1"/>
              </w:numPr>
            </w:pPr>
            <w:r>
              <w:rPr>
                <w:b/>
                <w:bCs/>
                <w:color w:val="1B6E5A"/>
                <w:sz w:val="18"/>
                <w:szCs w:val="18"/>
              </w:rPr>
              <w:t xml:space="preserve">Erfolg: Beitrag zur erfolgreichen ISO-27001-Zertifizierung innerhalb eines engen Zeitrahmens durch die strukturierte Umsetzung von Anforderungen, Kontrollen und Nachweisen.</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und technische Unterstützung in Informationssicherheit mit Schwerpunkt auf Server-, Netzwerk- und Infrastruktur-Security.</w:t>
            </w:r>
          </w:p>
          <w:p>
            <w:pPr>
              <w:pStyle w:val="ListParagraph"/>
              <w:numPr>
                <w:ilvl w:val="0"/>
                <w:numId w:val="1"/>
              </w:numPr>
            </w:pPr>
            <w:r>
              <w:rPr>
                <w:b w:val="false"/>
                <w:bCs w:val="false"/>
                <w:color w:val="07090B"/>
                <w:sz w:val="18"/>
                <w:szCs w:val="18"/>
              </w:rPr>
              <w:t xml:space="preserve">Unterstützung der strategischen und operativen Maßnahmen während eines größeren Sicherheitsvorfalls, einschließlich Koordination von Reaktion, Eindämmung und Wiederanlauf.</w:t>
            </w:r>
          </w:p>
          <w:p>
            <w:pPr>
              <w:pStyle w:val="ListParagraph"/>
              <w:numPr>
                <w:ilvl w:val="0"/>
                <w:numId w:val="1"/>
              </w:numPr>
            </w:pPr>
            <w:r>
              <w:rPr>
                <w:b w:val="false"/>
                <w:bCs w:val="false"/>
                <w:color w:val="07090B"/>
                <w:sz w:val="18"/>
                <w:szCs w:val="18"/>
              </w:rPr>
              <w:t xml:space="preserve">Erstellung und Weiterentwicklung von Sicherheitsrichtlinien, technischen Konzepten und umsetzungsnahen Sicherheitsvorgaben.</w:t>
            </w:r>
          </w:p>
          <w:p>
            <w:pPr>
              <w:pStyle w:val="ListParagraph"/>
              <w:numPr>
                <w:ilvl w:val="0"/>
                <w:numId w:val="1"/>
              </w:numPr>
            </w:pPr>
            <w:r>
              <w:rPr>
                <w:b w:val="false"/>
                <w:bCs w:val="false"/>
                <w:color w:val="07090B"/>
                <w:sz w:val="18"/>
                <w:szCs w:val="18"/>
              </w:rPr>
              <w:t xml:space="preserve">Automatisierung des Schwachstellen- und Vorfallsmanagements zur strukturierten Erfassung, Priorisierung und Bearbeitung sicherheitsrelevanter Ereignisse.</w:t>
            </w:r>
          </w:p>
          <w:p>
            <w:pPr>
              <w:pStyle w:val="ListParagraph"/>
              <w:numPr>
                <w:ilvl w:val="0"/>
                <w:numId w:val="1"/>
              </w:numPr>
            </w:pPr>
            <w:r>
              <w:rPr>
                <w:b w:val="false"/>
                <w:bCs w:val="false"/>
                <w:color w:val="07090B"/>
                <w:sz w:val="18"/>
                <w:szCs w:val="18"/>
              </w:rPr>
              <w:t xml:space="preserve">Unterstützung bei Aufbau und Weiterentwicklung von IT-Architektur und Sicherheitsstrategie, insbesondere in den Bereichen Netzwerkarchitektur, Cloud-Infrastruktur und Firewall-Konzepte.</w:t>
            </w:r>
          </w:p>
          <w:p>
            <w:pPr>
              <w:pStyle w:val="ListParagraph"/>
              <w:numPr>
                <w:ilvl w:val="0"/>
                <w:numId w:val="1"/>
              </w:numPr>
            </w:pPr>
            <w:r>
              <w:rPr>
                <w:b w:val="false"/>
                <w:bCs w:val="false"/>
                <w:color w:val="07090B"/>
                <w:sz w:val="18"/>
                <w:szCs w:val="18"/>
              </w:rPr>
              <w:t xml:space="preserve">Vorbereitung und fachliche Begleitung von Penetrationstests in den Bereichen Netzwerk, Cloud, Anwendungen und Active Directory.</w:t>
            </w:r>
          </w:p>
          <w:p>
            <w:pPr>
              <w:pStyle w:val="ListParagraph"/>
              <w:numPr>
                <w:ilvl w:val="0"/>
                <w:numId w:val="1"/>
              </w:numPr>
            </w:pPr>
            <w:r>
              <w:rPr>
                <w:b w:val="false"/>
                <w:bCs w:val="false"/>
                <w:color w:val="07090B"/>
                <w:sz w:val="18"/>
                <w:szCs w:val="18"/>
              </w:rPr>
              <w:t xml:space="preserve">Operative Verantwortung im SOC-Umfeld mit Fokus auf Sicherheitsmonitoring, Incident Response und kontinuierliche Verbesserung von Analyse- und Eskalationsprozessen.</w:t>
            </w:r>
          </w:p>
          <w:p>
            <w:pPr>
              <w:pStyle w:val="ListParagraph"/>
              <w:numPr>
                <w:ilvl w:val="0"/>
                <w:numId w:val="1"/>
              </w:numPr>
            </w:pPr>
            <w:r>
              <w:rPr>
                <w:b w:val="false"/>
                <w:bCs w:val="false"/>
                <w:color w:val="07090B"/>
                <w:sz w:val="18"/>
                <w:szCs w:val="18"/>
              </w:rPr>
              <w:t xml:space="preserve">Durchführung von Sicherheits-Audits sowie sicherheitstechnische Begleitung von Applikations- und Netzwerk-Migrationen.</w:t>
            </w:r>
          </w:p>
          <w:p>
            <w:pPr>
              <w:pStyle w:val="ListParagraph"/>
              <w:numPr>
                <w:ilvl w:val="0"/>
                <w:numId w:val="1"/>
              </w:numPr>
            </w:pPr>
            <w:r>
              <w:rPr>
                <w:b w:val="false"/>
                <w:bCs w:val="false"/>
                <w:color w:val="07090B"/>
                <w:sz w:val="18"/>
                <w:szCs w:val="18"/>
              </w:rPr>
              <w:t xml:space="preserve">Technischer Schwerpunkt auf Linux und Netzwerken sowie ergänzende Sicherheitsberatung für Windows-, Azure- und Entwicklungsumgebungen.</w:t>
            </w:r>
          </w:p>
          <w:p>
            <w:pPr>
              <w:pStyle w:val="ListParagraph"/>
              <w:numPr>
                <w:ilvl w:val="0"/>
                <w:numId w:val="1"/>
              </w:numPr>
            </w:pPr>
            <w:r>
              <w:rPr>
                <w:b w:val="false"/>
                <w:bCs w:val="false"/>
                <w:color w:val="07090B"/>
                <w:sz w:val="18"/>
                <w:szCs w:val="18"/>
              </w:rPr>
              <w:t xml:space="preserve">Beratung zu Datenschutz-, Audit- und Zertifizierungsanforderungen, unter anderem mit Bezug auf ISO 27001, BSI Grundschutz, NIST und MITRE.</w:t>
            </w:r>
          </w:p>
          <w:p>
            <w:pPr>
              <w:pStyle w:val="ListParagraph"/>
              <w:numPr>
                <w:ilvl w:val="0"/>
                <w:numId w:val="1"/>
              </w:numPr>
            </w:pPr>
            <w:r>
              <w:rPr>
                <w:b/>
                <w:bCs/>
                <w:color w:val="1B6E5A"/>
                <w:sz w:val="18"/>
                <w:szCs w:val="18"/>
              </w:rPr>
              <w:t xml:space="preserve">Erfolg: Beitrag zur koordinierten Reaktion auf einen größeren Sicherheitsvorfall mit Fokus auf Schadensbegrenzung, Wiederherstellung und betriebliche Stabilisierung.</w:t>
            </w:r>
          </w:p>
          <w:p>
            <w:pPr>
              <w:pStyle w:val="ListParagraph"/>
              <w:numPr>
                <w:ilvl w:val="0"/>
                <w:numId w:val="1"/>
              </w:numPr>
            </w:pPr>
            <w:r>
              <w:rPr>
                <w:b/>
                <w:bCs/>
                <w:color w:val="1B6E5A"/>
                <w:sz w:val="18"/>
                <w:szCs w:val="18"/>
              </w:rPr>
              <w:t xml:space="preserve">Erfolg: Entwicklung und Automatisierung eines Schwachstellenmanagement-Ansatzes mit schnelleren Reaktionszeiten und verbesserter Transparenz im Incident Handling.</w:t>
            </w:r>
          </w:p>
          <w:p>
            <w:pPr>
              <w:pStyle w:val="ListParagraph"/>
              <w:numPr>
                <w:ilvl w:val="0"/>
                <w:numId w:val="1"/>
              </w:numPr>
            </w:pPr>
            <w:r>
              <w:rPr>
                <w:b/>
                <w:bCs/>
                <w:color w:val="1B6E5A"/>
                <w:sz w:val="18"/>
                <w:szCs w:val="18"/>
              </w:rPr>
              <w:t xml:space="preserve">Erfolg: Einführung von Sicherheitsrichtlinien und technischen Sicherheitsvorgaben, die als wiederverwendbare Best Practices im Unternehmen übernommen wurden.</w:t>
            </w:r>
          </w:p>
          <w:p/>
          <w:p>
            <w:r>
              <w:rPr>
                <w:b/>
                <w:bCs/>
                <w:sz w:val="20"/>
                <w:szCs w:val="20"/>
              </w:rPr>
              <w:t xml:space="preserve">Senior Engineer Infrastruktur</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Technische Koordination und Ressourcenplanung eines kleinen Infrastrukturteams.</w:t>
            </w:r>
          </w:p>
          <w:p>
            <w:pPr>
              <w:pStyle w:val="ListParagraph"/>
              <w:numPr>
                <w:ilvl w:val="0"/>
                <w:numId w:val="1"/>
              </w:numPr>
            </w:pPr>
            <w:r>
              <w:rPr>
                <w:b w:val="false"/>
                <w:bCs w:val="false"/>
                <w:color w:val="07090B"/>
                <w:sz w:val="18"/>
                <w:szCs w:val="18"/>
              </w:rPr>
              <w:t xml:space="preserve">Verantwortungsbereich des Teams: Linux-basierte Plattformen für E-Mail, Cloud-Speicher, Lastverteilung, Proxy und DNS.</w:t>
            </w:r>
          </w:p>
          <w:p>
            <w:pPr>
              <w:pStyle w:val="ListParagraph"/>
              <w:numPr>
                <w:ilvl w:val="0"/>
                <w:numId w:val="1"/>
              </w:numPr>
            </w:pPr>
            <w:r>
              <w:rPr>
                <w:b w:val="false"/>
                <w:bCs w:val="false"/>
                <w:color w:val="07090B"/>
                <w:sz w:val="18"/>
                <w:szCs w:val="18"/>
              </w:rPr>
              <w:t xml:space="preserve">Analyse, Fehlerbehebung und nachhaltige Stabilisierung komplexer E-Mail-Infrastrukturen.</w:t>
            </w:r>
          </w:p>
          <w:p>
            <w:pPr>
              <w:pStyle w:val="ListParagraph"/>
              <w:numPr>
                <w:ilvl w:val="0"/>
                <w:numId w:val="1"/>
              </w:numPr>
            </w:pPr>
            <w:r>
              <w:rPr>
                <w:b w:val="false"/>
                <w:bCs w:val="false"/>
                <w:color w:val="07090B"/>
                <w:sz w:val="18"/>
                <w:szCs w:val="18"/>
              </w:rPr>
              <w:t xml:space="preserve">Beratung und technische Umsetzung in den Bereichen IPv6, Security und hochverfügbare Infrastruktursysteme.</w:t>
            </w:r>
          </w:p>
          <w:p>
            <w:pPr>
              <w:pStyle w:val="ListParagraph"/>
              <w:numPr>
                <w:ilvl w:val="0"/>
                <w:numId w:val="1"/>
              </w:numPr>
            </w:pPr>
            <w:r>
              <w:rPr>
                <w:b w:val="false"/>
                <w:bCs w:val="false"/>
                <w:color w:val="07090B"/>
                <w:sz w:val="18"/>
                <w:szCs w:val="18"/>
              </w:rPr>
              <w:t xml:space="preserve">Technische Teilprojektverantwortung für Rechenzentrumsumzug sowie Migration und Neuaufbau von Applikationen und Serverinfrastrukturen in redundanten, hochverfügbaren Zielumgebungen.</w:t>
            </w:r>
          </w:p>
          <w:p>
            <w:pPr>
              <w:pStyle w:val="ListParagraph"/>
              <w:numPr>
                <w:ilvl w:val="0"/>
                <w:numId w:val="1"/>
              </w:numPr>
            </w:pPr>
            <w:r>
              <w:rPr>
                <w:b/>
                <w:bCs/>
                <w:color w:val="1B6E5A"/>
                <w:sz w:val="18"/>
                <w:szCs w:val="18"/>
              </w:rPr>
              <w:t xml:space="preserve">Erfolg: Beitrag zur koordinierten Umsetzung eines erfolgreichen Rechenzentrumsumzugs mit abgestimmten Infrastrukturabhängigkeiten und stabiler Betriebsüberführung.</w:t>
            </w:r>
          </w:p>
          <w:p>
            <w:pPr>
              <w:pStyle w:val="ListParagraph"/>
              <w:numPr>
                <w:ilvl w:val="0"/>
                <w:numId w:val="1"/>
              </w:numPr>
            </w:pPr>
            <w:r>
              <w:rPr>
                <w:b/>
                <w:bCs/>
                <w:color w:val="1B6E5A"/>
                <w:sz w:val="18"/>
                <w:szCs w:val="18"/>
              </w:rPr>
              <w:t xml:space="preserve">Erfolg: Einführung von IPv6 im Unternehmensumfeld als Beitrag zur langfristigen Modernisierung der Netzwerkinfrastruktur.</w:t>
            </w:r>
          </w:p>
          <w:p>
            <w:pPr>
              <w:pStyle w:val="ListParagraph"/>
              <w:numPr>
                <w:ilvl w:val="0"/>
                <w:numId w:val="1"/>
              </w:numPr>
            </w:pPr>
            <w:r>
              <w:rPr>
                <w:b/>
                <w:bCs/>
                <w:color w:val="1B6E5A"/>
                <w:sz w:val="18"/>
                <w:szCs w:val="18"/>
              </w:rPr>
              <w:t xml:space="preserve">Erfolg: Verbesserung von Teamdurchsatz und Betriebsstabilität durch automatisierte Abläufe und strukturiertere Ressourcensteuerung.</w:t>
            </w:r>
          </w:p>
          <w:p/>
          <w:p>
            <w:r>
              <w:rPr>
                <w:b/>
                <w:bCs/>
                <w:sz w:val="20"/>
                <w:szCs w:val="20"/>
              </w:rPr>
              <w:t xml:space="preserve">Systemarchitekt E-Mail-Archivierung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Systemarchitekt für die unternehmensweite E-Mail-Archivierungsplattform mit Verantwortung für Architektur, technische Weiterentwicklung und langfristige Wartbarkeit.</w:t>
            </w:r>
          </w:p>
          <w:p>
            <w:pPr>
              <w:pStyle w:val="ListParagraph"/>
              <w:numPr>
                <w:ilvl w:val="0"/>
                <w:numId w:val="1"/>
              </w:numPr>
            </w:pPr>
            <w:r>
              <w:rPr>
                <w:b w:val="false"/>
                <w:bCs w:val="false"/>
                <w:color w:val="07090B"/>
                <w:sz w:val="18"/>
                <w:szCs w:val="18"/>
              </w:rPr>
              <w:t xml:space="preserve">Architektur, Design und Implementierung eines rechtssicheren Archivs für mehr als 50.000 Nutzer mit unveränderbarer Aufbewahrung, Prüfbarkeit und dauerhaft tragfähigem Betrieb.</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für die effiziente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Zusätzliche Verantwortung in der umliegenden Mail-Infrastruktur, darunter dovecot, postfix, Linux-basierte Dienste,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Anforderungen.</w:t>
            </w:r>
          </w:p>
          <w:p/>
          <w:p>
            <w:pPr>
              <w:spacing w:after="50" w:before="1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Verantwortung auf Vorstandsebene für Informationssicherheit, Datenschutz und Compliance-Themen.</w:t>
            </w:r>
          </w:p>
          <w:p>
            <w:pPr>
              <w:pStyle w:val="ListParagraph"/>
              <w:numPr>
                <w:ilvl w:val="0"/>
                <w:numId w:val="1"/>
              </w:numPr>
            </w:pPr>
            <w:r>
              <w:rPr>
                <w:b w:val="false"/>
                <w:bCs w:val="false"/>
                <w:color w:val="07090B"/>
                <w:sz w:val="18"/>
                <w:szCs w:val="18"/>
              </w:rPr>
              <w:t xml:space="preserve">Vertrauenswürdiger Ansprechpartner für Security-, Infrastruktur- und regulatorische Anforderungen in Kundenprojekten.</w:t>
            </w:r>
          </w:p>
          <w:p>
            <w:pPr>
              <w:pStyle w:val="ListParagraph"/>
              <w:numPr>
                <w:ilvl w:val="0"/>
                <w:numId w:val="1"/>
              </w:numPr>
            </w:pPr>
            <w:r>
              <w:rPr>
                <w:b w:val="false"/>
                <w:bCs w:val="false"/>
                <w:color w:val="07090B"/>
                <w:sz w:val="18"/>
                <w:szCs w:val="18"/>
              </w:rPr>
              <w:t xml:space="preserve">Beitrag zu sicheren und rechtskonformen IT-Architekturen mit Fokus auf moderne Technologien wie IPv6, Zero Trust und Zero-Config-VPN-Ansätze.</w:t>
            </w:r>
          </w:p>
          <w:p>
            <w:pPr>
              <w:pStyle w:val="ListParagraph"/>
              <w:numPr>
                <w:ilvl w:val="0"/>
                <w:numId w:val="1"/>
              </w:numPr>
            </w:pPr>
            <w:r>
              <w:rPr>
                <w:b w:val="false"/>
                <w:bCs w:val="false"/>
                <w:color w:val="07090B"/>
                <w:sz w:val="18"/>
                <w:szCs w:val="18"/>
              </w:rPr>
              <w:t xml:space="preserve">Verbindung von Governance-Anforderungen mit praktischer technischer Umsetzung in Security- und Infrastrukturinitiativen.</w:t>
            </w:r>
          </w:p>
          <w:p/>
          <w:p>
            <w:r>
              <w:rPr>
                <w:b/>
                <w:bCs/>
                <w:sz w:val="20"/>
                <w:szCs w:val="20"/>
              </w:rPr>
              <w:t xml:space="preserve">Lead Software Engineer – SchlauFabrik Trainingsplattform</w:t>
            </w:r>
          </w:p>
          <w:p>
            <w:r>
              <w:rPr>
                <w:color w:val="1B6E5A"/>
                <w:sz w:val="18"/>
                <w:szCs w:val="18"/>
              </w:rPr>
              <w:t xml:space="preserve">xtensible UG (haftungsbeschränkt) &amp; Co. KG</w:t>
            </w:r>
            <w:r>
              <w:rPr>
                <w:color w:val="3A2366"/>
                <w:sz w:val="18"/>
                <w:szCs w:val="18"/>
              </w:rPr>
              <w:t xml:space="preserve"> — Dezember 2025 -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Architektur und Entwicklung einer mandantenfähigen Trainingsplattform für Compliance- und KI-Themen mit rollenbasierter Zugriffskontrolle und klarer Mandantenisolation.</w:t>
            </w:r>
          </w:p>
          <w:p>
            <w:pPr>
              <w:pStyle w:val="ListParagraph"/>
              <w:numPr>
                <w:ilvl w:val="0"/>
                <w:numId w:val="1"/>
              </w:numPr>
            </w:pPr>
            <w:r>
              <w:rPr>
                <w:b w:val="false"/>
                <w:bCs w:val="false"/>
                <w:color w:val="07090B"/>
                <w:sz w:val="18"/>
                <w:szCs w:val="18"/>
              </w:rPr>
              <w:t xml:space="preserve">Umsetzung zentraler Plattformfunktionen wie Kursauslieferung, Fortschritts-Tracking, Quiz, Zuweisungen sowie Admin-Dashboards für Tenant- und User-Management.</w:t>
            </w:r>
          </w:p>
          <w:p>
            <w:pPr>
              <w:pStyle w:val="ListParagraph"/>
              <w:numPr>
                <w:ilvl w:val="0"/>
                <w:numId w:val="1"/>
              </w:numPr>
            </w:pPr>
            <w:r>
              <w:rPr>
                <w:b w:val="false"/>
                <w:bCs w:val="false"/>
                <w:color w:val="07090B"/>
                <w:sz w:val="18"/>
                <w:szCs w:val="18"/>
              </w:rPr>
              <w:t xml:space="preserve">Implementierung von Security-by-Design mit Postgres Row-Level Security, Audit-Logs, Rate Limiting sowie gehärteten Authentifizierungsflüssen auf Basis von Passkeys, Magic Links, 2FA und SSO.</w:t>
            </w:r>
          </w:p>
          <w:p>
            <w:pPr>
              <w:pStyle w:val="ListParagraph"/>
              <w:numPr>
                <w:ilvl w:val="0"/>
                <w:numId w:val="1"/>
              </w:numPr>
            </w:pPr>
            <w:r>
              <w:rPr>
                <w:b w:val="false"/>
                <w:bCs w:val="false"/>
                <w:color w:val="07090B"/>
                <w:sz w:val="18"/>
                <w:szCs w:val="18"/>
              </w:rPr>
              <w:t xml:space="preserve">Entwicklung manipulationserschwerter PDF-Zertifikate mit QR-Verifikation, kryptografischem Hashing und Bulk-Export-Funktionen für Audit- und Nachweisprozesse.</w:t>
            </w:r>
          </w:p>
          <w:p>
            <w:pPr>
              <w:pStyle w:val="ListParagraph"/>
              <w:numPr>
                <w:ilvl w:val="0"/>
                <w:numId w:val="1"/>
              </w:numPr>
            </w:pPr>
            <w:r>
              <w:rPr>
                <w:b w:val="false"/>
                <w:bCs w:val="false"/>
                <w:color w:val="07090B"/>
                <w:sz w:val="18"/>
                <w:szCs w:val="18"/>
              </w:rPr>
              <w:t xml:space="preserve">Integration von Stripe-Abrechnung inklusive Subscriptions, Customer Portal und Webhooks sowie Umsetzung tenantbasierter Lizenzmodelle und Soft-Lock-Mechanismen für Nutzungsgrenzen.</w:t>
            </w:r>
          </w:p>
          <w:p>
            <w:pPr>
              <w:pStyle w:val="ListParagraph"/>
              <w:numPr>
                <w:ilvl w:val="0"/>
                <w:numId w:val="1"/>
              </w:numPr>
            </w:pPr>
            <w:r>
              <w:rPr>
                <w:b w:val="false"/>
                <w:bCs w:val="false"/>
                <w:color w:val="07090B"/>
                <w:sz w:val="18"/>
                <w:szCs w:val="18"/>
              </w:rPr>
              <w:t xml:space="preserve">Technische Umsetzung mit Next.js App Router, TypeScript, Bun, Tailwind, next-intl, Neon Postgres, Resend sowie automatisierten Tests mit Vitest und Playwright.</w:t>
            </w:r>
          </w:p>
          <w:p>
            <w:pPr>
              <w:pStyle w:val="ListParagraph"/>
              <w:numPr>
                <w:ilvl w:val="0"/>
                <w:numId w:val="1"/>
              </w:numPr>
            </w:pPr>
            <w:r>
              <w:rPr>
                <w:b/>
                <w:bCs/>
                <w:color w:val="1B6E5A"/>
                <w:sz w:val="18"/>
                <w:szCs w:val="18"/>
              </w:rPr>
              <w:t xml:space="preserve">Erfolg: Aufbau einer produktionsnahen SaaS-Plattform mit Fokus auf Sicherheit, Mandantenfähigkeit, Abrechenbarkeit und Auditierbarkeit.</w:t>
            </w:r>
          </w:p>
          <w:p>
            <w:pPr>
              <w:pStyle w:val="ListParagraph"/>
              <w:numPr>
                <w:ilvl w:val="0"/>
                <w:numId w:val="1"/>
              </w:numPr>
            </w:pPr>
            <w:r>
              <w:rPr>
                <w:b/>
                <w:bCs/>
                <w:color w:val="1B6E5A"/>
                <w:sz w:val="18"/>
                <w:szCs w:val="18"/>
              </w:rPr>
              <w:t xml:space="preserve">Erfolg: Verknüpfung von Produktlogik, Compliance-Anforderungen und technischer Implementierung in einer konsistenten Plattformarchitektur.</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Konzeption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agentischer KI-Workflows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Penetrationstest-Koordination</w:t>
            </w:r>
          </w:p>
          <w:p>
            <w:r>
              <w:rPr>
                <w:b/>
                <w:bCs/>
                <w:sz w:val="20"/>
                <w:szCs w:val="20"/>
              </w:rPr>
              <w:t xml:space="preserve">Infrastruktur &amp; Plattformen</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Architektur &amp; Führung</w:t>
            </w:r>
          </w:p>
          <w:p>
            <w:r>
              <w:rPr>
                <w:color w:val="1B6E5A"/>
                <w:sz w:val="18"/>
                <w:szCs w:val="18"/>
              </w:rPr>
              <w:t xml:space="preserve">Software-Architektur</w:t>
            </w:r>
            <w:r>
              <w:rPr>
                <w:color w:val="1B6E5A"/>
                <w:sz w:val="18"/>
                <w:szCs w:val="18"/>
              </w:rPr>
              <w:t xml:space="preserve">, </w:t>
            </w:r>
            <w:r>
              <w:rPr>
                <w:color w:val="1B6E5A"/>
                <w:sz w:val="18"/>
                <w:szCs w:val="18"/>
              </w:rPr>
              <w:t xml:space="preserve">Plattformarchitektur</w:t>
            </w:r>
            <w:r>
              <w:rPr>
                <w:color w:val="1B6E5A"/>
                <w:sz w:val="18"/>
                <w:szCs w:val="18"/>
              </w:rPr>
              <w:t xml:space="preserve">, </w:t>
            </w:r>
            <w:r>
              <w:rPr>
                <w:color w:val="1B6E5A"/>
                <w:sz w:val="18"/>
                <w:szCs w:val="18"/>
              </w:rPr>
              <w:t xml:space="preserve">Infrastrukturarchitektur</w:t>
            </w:r>
            <w:r>
              <w:rPr>
                <w:color w:val="1B6E5A"/>
                <w:sz w:val="18"/>
                <w:szCs w:val="18"/>
              </w:rPr>
              <w:t xml:space="preserve">, </w:t>
            </w:r>
            <w:r>
              <w:rPr>
                <w:color w:val="1B6E5A"/>
                <w:sz w:val="18"/>
                <w:szCs w:val="18"/>
              </w:rPr>
              <w:t xml:space="preserve">Technische Führung</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Technische Konzepte</w:t>
            </w:r>
            <w:r>
              <w:rPr>
                <w:color w:val="1B6E5A"/>
                <w:sz w:val="18"/>
                <w:szCs w:val="18"/>
              </w:rPr>
              <w:t xml:space="preserve">, </w:t>
            </w:r>
            <w:r>
              <w:rPr>
                <w:color w:val="1B6E5A"/>
                <w:sz w:val="18"/>
                <w:szCs w:val="18"/>
              </w:rPr>
              <w:t xml:space="preserve">Delivery-Struktur</w:t>
            </w:r>
          </w:p>
          <w:p>
            <w:r>
              <w:rPr>
                <w:b/>
                <w:bCs/>
                <w:sz w:val="20"/>
                <w:szCs w:val="20"/>
              </w:rPr>
              <w:t xml:space="preserve">KI</w:t>
            </w:r>
          </w:p>
          <w:p>
            <w:r>
              <w:rPr>
                <w:color w:val="1B6E5A"/>
                <w:sz w:val="18"/>
                <w:szCs w:val="18"/>
              </w:rPr>
              <w:t xml:space="preserve">KI-Workflows</w:t>
            </w:r>
            <w:r>
              <w:rPr>
                <w:color w:val="1B6E5A"/>
                <w:sz w:val="18"/>
                <w:szCs w:val="18"/>
              </w:rPr>
              <w:t xml:space="preserve">, </w:t>
            </w:r>
            <w:r>
              <w:rPr>
                <w:color w:val="1B6E5A"/>
                <w:sz w:val="18"/>
                <w:szCs w:val="18"/>
              </w:rPr>
              <w:t xml:space="preserve">Agentische KI</w:t>
            </w:r>
            <w:r>
              <w:rPr>
                <w:color w:val="1B6E5A"/>
                <w:sz w:val="18"/>
                <w:szCs w:val="18"/>
              </w:rPr>
              <w:t xml:space="preserve">, </w:t>
            </w:r>
            <w:r>
              <w:rPr>
                <w:color w:val="1B6E5A"/>
                <w:sz w:val="18"/>
                <w:szCs w:val="18"/>
              </w:rPr>
              <w:t xml:space="preserve">Evaluierung von KI-Werkzeugen</w:t>
            </w:r>
            <w:r>
              <w:rPr>
                <w:color w:val="1B6E5A"/>
                <w:sz w:val="18"/>
                <w:szCs w:val="18"/>
              </w:rPr>
              <w:t xml:space="preserve">, </w:t>
            </w:r>
            <w:r>
              <w:rPr>
                <w:color w:val="1B6E5A"/>
                <w:sz w:val="18"/>
                <w:szCs w:val="18"/>
              </w:rPr>
              <w:t xml:space="preserve">KI-Trainingsplattformen</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Entwickelte Lösungen</w:t>
            </w:r>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Rechtssicheres E-Mail-Archiv</w:t>
            </w:r>
          </w:p>
          <w:p>
            <w:pPr>
              <w:spacing w:after="100"/>
            </w:pPr>
            <w:r>
              <w:rPr>
                <w:sz w:val="18"/>
                <w:szCs w:val="18"/>
              </w:rPr>
              <w:t xml:space="preserve">Architektur, Design und Implementierung einer rechtssicheren unternehmensweiten E-Mail-Archivierungslösung für mehr als 50.000 Nutzer. Das System gewährleistet die unveränderbare Aufbewahrung sämtlicher Kommunikation über mehr als 10 Jahre und erfüllt strenge regulatorische sowie prüfungsrelevante Anforderungen. Basierend auf Open-Source-Technologien wurde das Archiv auf Skalierbarkeit, Redundanz und langfristige Wartbarkeit ausgelegt.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Umsetzung der Anforderungen aus SOC 2 und ISO 27001 durch Einführung von Informationssicherheitsrichtlinien, Kontrollen und Nachweisstrukturen im Einklang mit Audit- und Zertifizierungsanforderungen.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März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2026-03-13T10:49:46.913Z</dcterms:created>
  <dcterms:modified xsi:type="dcterms:W3CDTF">2026-03-13T10:49:46.913Z</dcterms:modified>
</cp:coreProperties>
</file>

<file path=docProps/custom.xml><?xml version="1.0" encoding="utf-8"?>
<Properties xmlns="http://schemas.openxmlformats.org/officeDocument/2006/custom-properties" xmlns:vt="http://schemas.openxmlformats.org/officeDocument/2006/docPropsVTypes"/>
</file>